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3C0F8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951E17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Мамедкалинская гимназия имени М.Алиева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51E17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МБОУ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51E17">
        <w:rPr>
          <w:rFonts w:ascii="Times New Roman" w:hAnsi="Times New Roman" w:cs="Times New Roman"/>
          <w:b/>
          <w:sz w:val="28"/>
          <w:szCs w:val="28"/>
        </w:rPr>
        <w:t>Мамедкалинская гимназия имени М.Алиева» воспитательного процесса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951E17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951E1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51E17">
        <w:rPr>
          <w:rFonts w:ascii="Times New Roman" w:hAnsi="Times New Roman" w:cs="Times New Roman"/>
          <w:sz w:val="28"/>
          <w:szCs w:val="28"/>
        </w:rPr>
        <w:t>«Мамедкалинская гимназия имен</w:t>
      </w:r>
      <w:r w:rsidR="00DA7EB4">
        <w:rPr>
          <w:rFonts w:ascii="Times New Roman" w:hAnsi="Times New Roman" w:cs="Times New Roman"/>
          <w:sz w:val="28"/>
          <w:szCs w:val="28"/>
        </w:rPr>
        <w:t>и</w:t>
      </w:r>
      <w:r w:rsidR="00951E17">
        <w:rPr>
          <w:rFonts w:ascii="Times New Roman" w:hAnsi="Times New Roman" w:cs="Times New Roman"/>
          <w:sz w:val="28"/>
          <w:szCs w:val="28"/>
        </w:rPr>
        <w:t xml:space="preserve"> М. Алиева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951E17">
        <w:rPr>
          <w:rFonts w:ascii="Times New Roman" w:hAnsi="Times New Roman" w:cs="Times New Roman"/>
          <w:sz w:val="28"/>
          <w:szCs w:val="28"/>
        </w:rPr>
        <w:t xml:space="preserve">МБОУ </w:t>
      </w:r>
      <w:r w:rsidR="00056F8C">
        <w:rPr>
          <w:rFonts w:ascii="Times New Roman" w:hAnsi="Times New Roman" w:cs="Times New Roman"/>
          <w:sz w:val="28"/>
          <w:szCs w:val="28"/>
        </w:rPr>
        <w:t xml:space="preserve"> «</w:t>
      </w:r>
      <w:r w:rsidR="00951E17">
        <w:rPr>
          <w:rFonts w:ascii="Times New Roman" w:hAnsi="Times New Roman" w:cs="Times New Roman"/>
          <w:sz w:val="28"/>
          <w:szCs w:val="28"/>
        </w:rPr>
        <w:t>Мамедкалинская гимназия имени М.Алиева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DA7EB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DA7EB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Рабочая программа воспитания</w:t>
      </w:r>
      <w:r w:rsidR="00951E17" w:rsidRPr="00951E17">
        <w:rPr>
          <w:rFonts w:ascii="Times New Roman" w:hAnsi="Times New Roman" w:cs="Times New Roman"/>
          <w:sz w:val="28"/>
          <w:szCs w:val="28"/>
        </w:rPr>
        <w:t xml:space="preserve"> </w:t>
      </w:r>
      <w:r w:rsidR="00951E17">
        <w:rPr>
          <w:rFonts w:ascii="Times New Roman" w:hAnsi="Times New Roman" w:cs="Times New Roman"/>
          <w:sz w:val="28"/>
          <w:szCs w:val="28"/>
        </w:rPr>
        <w:t>МБОУ  «Мамедкалинская гимназия имени М.Алиева»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951E17">
        <w:rPr>
          <w:rFonts w:ascii="Times New Roman" w:hAnsi="Times New Roman" w:cs="Times New Roman"/>
          <w:sz w:val="28"/>
          <w:szCs w:val="28"/>
        </w:rPr>
        <w:t xml:space="preserve">МБОУ  «Мамедкалинская гимназия имени М.Алиева»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951E17">
        <w:rPr>
          <w:rFonts w:ascii="Times New Roman" w:hAnsi="Times New Roman" w:cs="Times New Roman"/>
          <w:sz w:val="28"/>
          <w:szCs w:val="28"/>
        </w:rPr>
        <w:t>МБОУ  «Мамедкалинская гимназия имени М.Алиева»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951E17">
        <w:rPr>
          <w:rFonts w:ascii="Times New Roman" w:hAnsi="Times New Roman" w:cs="Times New Roman"/>
          <w:sz w:val="28"/>
          <w:szCs w:val="28"/>
        </w:rPr>
        <w:t xml:space="preserve">МБОУ  «Мамедкалинская гимназия имени М.Алиева»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951E17" w:rsidRPr="00951E17">
        <w:rPr>
          <w:rFonts w:ascii="Times New Roman" w:hAnsi="Times New Roman" w:cs="Times New Roman"/>
          <w:b/>
          <w:sz w:val="28"/>
          <w:szCs w:val="28"/>
        </w:rPr>
        <w:t>МБОУ  «Мамедкалинская гимназия имени М.Алиева»</w:t>
      </w:r>
      <w:r w:rsidR="00951E1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951E17">
        <w:rPr>
          <w:rFonts w:ascii="Times New Roman" w:hAnsi="Times New Roman" w:cs="Times New Roman"/>
          <w:sz w:val="28"/>
          <w:szCs w:val="28"/>
        </w:rPr>
        <w:t xml:space="preserve">МБОУ  «Мамедкалинская гимназия имени М.Алиева»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бы объединяли детей и 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DA7EB4" w:rsidRPr="00ED2D14">
        <w:rPr>
          <w:rFonts w:ascii="Times New Roman" w:hAnsi="Times New Roman" w:cs="Times New Roman"/>
          <w:sz w:val="28"/>
          <w:szCs w:val="28"/>
        </w:rPr>
        <w:t>Педагогический</w:t>
      </w:r>
      <w:r w:rsidRPr="00ED2D14">
        <w:rPr>
          <w:rFonts w:ascii="Times New Roman" w:hAnsi="Times New Roman" w:cs="Times New Roman"/>
          <w:sz w:val="28"/>
          <w:szCs w:val="28"/>
        </w:rPr>
        <w:t xml:space="preserve"> Совет, </w:t>
      </w:r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</w:t>
      </w:r>
      <w:r w:rsidR="00DA7EB4">
        <w:rPr>
          <w:rFonts w:ascii="Times New Roman" w:hAnsi="Times New Roman" w:cs="Times New Roman"/>
          <w:sz w:val="28"/>
          <w:szCs w:val="28"/>
        </w:rPr>
        <w:t xml:space="preserve">ате учебного заведения </w:t>
      </w:r>
      <w:r w:rsidRPr="007625ED">
        <w:rPr>
          <w:rFonts w:ascii="Times New Roman" w:hAnsi="Times New Roman" w:cs="Times New Roman"/>
          <w:sz w:val="28"/>
          <w:szCs w:val="28"/>
        </w:rPr>
        <w:t>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951E17">
        <w:rPr>
          <w:rFonts w:ascii="Times New Roman" w:hAnsi="Times New Roman" w:cs="Times New Roman"/>
          <w:sz w:val="28"/>
          <w:szCs w:val="28"/>
        </w:rPr>
        <w:t>Перекресток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Pr="00ED2D14">
        <w:rPr>
          <w:rFonts w:ascii="Times New Roman" w:hAnsi="Times New Roman" w:cs="Times New Roman"/>
          <w:sz w:val="28"/>
          <w:szCs w:val="28"/>
        </w:rPr>
        <w:t>Эко</w:t>
      </w:r>
      <w:r w:rsidR="00DA7EB4" w:rsidRPr="00ED2D14">
        <w:rPr>
          <w:rFonts w:ascii="Times New Roman" w:hAnsi="Times New Roman" w:cs="Times New Roman"/>
          <w:sz w:val="28"/>
          <w:szCs w:val="28"/>
        </w:rPr>
        <w:t>Отряд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Школьная медиа-студия «</w:t>
      </w:r>
      <w:r w:rsidR="00951E17">
        <w:rPr>
          <w:rFonts w:ascii="Times New Roman" w:hAnsi="Times New Roman" w:cs="Times New Roman"/>
          <w:sz w:val="28"/>
          <w:szCs w:val="28"/>
        </w:rPr>
        <w:t>Большая перемена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A53A9B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Летний лагерь с дневным пребыванием «</w:t>
      </w:r>
      <w:r w:rsidR="00951E17">
        <w:rPr>
          <w:rFonts w:ascii="Times New Roman" w:hAnsi="Times New Roman" w:cs="Times New Roman"/>
          <w:sz w:val="28"/>
          <w:szCs w:val="28"/>
        </w:rPr>
        <w:t>Лето перемен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951E1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 «Мамедкалинская гимназия имени М.Алиева» в рамках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>ФГБОУ ВО «Дагестанск</w:t>
      </w:r>
      <w:r w:rsidR="00951E17">
        <w:rPr>
          <w:rFonts w:ascii="Times New Roman" w:hAnsi="Times New Roman" w:cs="Times New Roman"/>
          <w:sz w:val="28"/>
          <w:szCs w:val="28"/>
        </w:rPr>
        <w:t xml:space="preserve">ий государственный университет» филиал г.Дербент, Дагестанская академия образования и культуры; Социально-педагогический институт, Институт мировой экономики, Институт Юждаг, ДГТУ филиал г. Дербент, Дербентский профессионально – педагогический колледж имени Г.Б.Казиахмедова, Дагестанский технический колледж, Колледж народных промыслов и туризма, Железнодорожный колледж, колледж бизнес-менеджмента, экономики и права 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951E17">
        <w:rPr>
          <w:rFonts w:ascii="Times New Roman" w:hAnsi="Times New Roman" w:cs="Times New Roman"/>
          <w:sz w:val="28"/>
          <w:szCs w:val="28"/>
        </w:rPr>
        <w:t xml:space="preserve">; Архитектурный комплекс Цитадель Нарын-Кала; Музей ковра и декаративно-прикладного искусства г. Дербент; Этнодом Кубачи г. Дербент; Домик Петра 1 г. Дербент; Музей истории мировых культур и религий г. </w:t>
      </w:r>
      <w:r w:rsidR="00951E17">
        <w:rPr>
          <w:rFonts w:ascii="Times New Roman" w:hAnsi="Times New Roman" w:cs="Times New Roman"/>
          <w:sz w:val="28"/>
          <w:szCs w:val="28"/>
        </w:rPr>
        <w:lastRenderedPageBreak/>
        <w:t>Дербент; Музей Боевой Славы г.Дербент; Дом-музей Александра Бестужева –Марлинского г.Дербент; Музей Природа Прикаспия ,</w:t>
      </w:r>
    </w:p>
    <w:p w:rsidR="00582B90" w:rsidRDefault="00487BF7" w:rsidP="00951E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951E17">
        <w:rPr>
          <w:rFonts w:ascii="Times New Roman" w:hAnsi="Times New Roman" w:cs="Times New Roman"/>
          <w:sz w:val="28"/>
          <w:szCs w:val="28"/>
        </w:rPr>
        <w:t xml:space="preserve"> МБУДО «ДДТ» п.Мамедкала, МКУ ДО «ДХШ им.Н.Алиева» п.Мамедкала, МКУ ДО «Детская школа искусств №1» </w:t>
      </w:r>
      <w:r w:rsidR="00582B90">
        <w:rPr>
          <w:rFonts w:ascii="Times New Roman" w:hAnsi="Times New Roman" w:cs="Times New Roman"/>
          <w:sz w:val="28"/>
          <w:szCs w:val="28"/>
        </w:rPr>
        <w:t>п. Мамедкала, МБУ ДО  «ДЮСШ №1 п</w:t>
      </w:r>
      <w:r w:rsidR="00951E17">
        <w:rPr>
          <w:rFonts w:ascii="Times New Roman" w:hAnsi="Times New Roman" w:cs="Times New Roman"/>
          <w:sz w:val="28"/>
          <w:szCs w:val="28"/>
        </w:rPr>
        <w:t>.Мамедкала»</w:t>
      </w:r>
    </w:p>
    <w:p w:rsidR="00487BF7" w:rsidRDefault="00582B90" w:rsidP="00951E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D14">
        <w:rPr>
          <w:rFonts w:ascii="Times New Roman" w:hAnsi="Times New Roman" w:cs="Times New Roman"/>
          <w:sz w:val="28"/>
          <w:szCs w:val="28"/>
        </w:rPr>
        <w:t xml:space="preserve">- </w:t>
      </w:r>
      <w:r w:rsidRPr="00ED2D14">
        <w:rPr>
          <w:rFonts w:ascii="inherit" w:hAnsi="inherit"/>
          <w:sz w:val="28"/>
          <w:szCs w:val="28"/>
          <w:lang w:eastAsia="ru-RU"/>
        </w:rPr>
        <w:t>отдел по МВД России по Дербентскому району , отдел ПДН, Акционерное Общество «Имени Наримана Алиева»</w:t>
      </w:r>
      <w:r w:rsidR="00951E17" w:rsidRPr="00ED2D14">
        <w:rPr>
          <w:rFonts w:ascii="Times New Roman" w:hAnsi="Times New Roman" w:cs="Times New Roman"/>
          <w:sz w:val="28"/>
          <w:szCs w:val="28"/>
        </w:rPr>
        <w:t>.</w:t>
      </w:r>
    </w:p>
    <w:p w:rsidR="00ED2D14" w:rsidRPr="00ED2D14" w:rsidRDefault="00ED2D14" w:rsidP="00951E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DA7EB4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DA7EB4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DA7EB4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вопросам воспитания, на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учениками,способствующих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 Алиева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Pr="00582B9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C4D60" w:rsidRPr="00582B90">
        <w:rPr>
          <w:rFonts w:ascii="Times New Roman" w:hAnsi="Times New Roman" w:cs="Times New Roman"/>
          <w:color w:val="FF0000"/>
          <w:sz w:val="28"/>
          <w:szCs w:val="28"/>
        </w:rPr>
        <w:t>«Мир вокруг нас» (1-4 классы);</w:t>
      </w:r>
    </w:p>
    <w:p w:rsidR="00A30A10" w:rsidRPr="00582B9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82B90">
        <w:rPr>
          <w:rFonts w:ascii="Times New Roman" w:hAnsi="Times New Roman" w:cs="Times New Roman"/>
          <w:color w:val="FF0000"/>
          <w:sz w:val="28"/>
          <w:szCs w:val="28"/>
        </w:rPr>
        <w:t xml:space="preserve"> «Юный краевед Дагестана» (8 классы)</w:t>
      </w:r>
      <w:r w:rsidR="000D3E13" w:rsidRPr="00582B9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 Алиева»</w:t>
      </w:r>
    </w:p>
    <w:p w:rsidR="00A37F07" w:rsidRPr="00582B90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82B90">
        <w:rPr>
          <w:rFonts w:ascii="Times New Roman" w:hAnsi="Times New Roman" w:cs="Times New Roman"/>
          <w:color w:val="FF0000"/>
          <w:sz w:val="28"/>
          <w:szCs w:val="28"/>
        </w:rPr>
        <w:t>КТНД (1-4 классы)</w:t>
      </w:r>
      <w:r w:rsidR="000D3E13" w:rsidRPr="00582B9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</w:t>
      </w:r>
      <w:r w:rsidR="00DA7EB4">
        <w:rPr>
          <w:rFonts w:ascii="Times New Roman" w:hAnsi="Times New Roman" w:cs="Times New Roman"/>
          <w:sz w:val="28"/>
          <w:szCs w:val="28"/>
        </w:rPr>
        <w:t>.</w:t>
      </w:r>
      <w:r w:rsidR="00582B90">
        <w:rPr>
          <w:rFonts w:ascii="Times New Roman" w:hAnsi="Times New Roman" w:cs="Times New Roman"/>
          <w:sz w:val="28"/>
          <w:szCs w:val="28"/>
        </w:rPr>
        <w:t xml:space="preserve"> Алиева»</w:t>
      </w:r>
    </w:p>
    <w:p w:rsidR="00A37F07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 «Школа вежливых наук» (1-4 классы);</w:t>
      </w:r>
    </w:p>
    <w:p w:rsidR="002C4D60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24F94" w:rsidRPr="00582B90">
        <w:rPr>
          <w:rFonts w:ascii="Times New Roman" w:hAnsi="Times New Roman" w:cs="Times New Roman"/>
          <w:color w:val="FF0000"/>
          <w:sz w:val="28"/>
          <w:szCs w:val="28"/>
        </w:rPr>
        <w:t>«Я гражданин России» (1-4 классы);</w:t>
      </w:r>
    </w:p>
    <w:p w:rsidR="002C4D60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82B90">
        <w:rPr>
          <w:rFonts w:ascii="Times New Roman" w:hAnsi="Times New Roman" w:cs="Times New Roman"/>
          <w:color w:val="FF0000"/>
          <w:sz w:val="28"/>
          <w:szCs w:val="28"/>
        </w:rPr>
        <w:t>«Уроки нравственности» (1-4 классы);</w:t>
      </w:r>
    </w:p>
    <w:p w:rsidR="002C4D60" w:rsidRPr="00582B9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82B90">
        <w:rPr>
          <w:rFonts w:ascii="Times New Roman" w:hAnsi="Times New Roman" w:cs="Times New Roman"/>
          <w:color w:val="FF0000"/>
          <w:sz w:val="28"/>
          <w:szCs w:val="28"/>
        </w:rPr>
        <w:t>«Тропинка к своему Я» (1-4 классы);</w:t>
      </w:r>
    </w:p>
    <w:p w:rsidR="002C4D60" w:rsidRPr="00582B9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C2A39" w:rsidRPr="00582B90">
        <w:rPr>
          <w:rFonts w:ascii="Times New Roman" w:hAnsi="Times New Roman" w:cs="Times New Roman"/>
          <w:color w:val="FF0000"/>
          <w:sz w:val="28"/>
          <w:szCs w:val="28"/>
        </w:rPr>
        <w:t>«Азбука нравственности» (1-4 классы);</w:t>
      </w:r>
    </w:p>
    <w:p w:rsidR="002C4D60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82B90">
        <w:rPr>
          <w:rFonts w:ascii="Times New Roman" w:hAnsi="Times New Roman" w:cs="Times New Roman"/>
          <w:color w:val="FF0000"/>
          <w:sz w:val="28"/>
          <w:szCs w:val="28"/>
        </w:rPr>
        <w:t>«Азбука добра» (1-4 классы);</w:t>
      </w:r>
    </w:p>
    <w:p w:rsidR="002C4D60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82B90">
        <w:rPr>
          <w:rFonts w:ascii="Times New Roman" w:hAnsi="Times New Roman" w:cs="Times New Roman"/>
          <w:color w:val="FF0000"/>
          <w:sz w:val="28"/>
          <w:szCs w:val="28"/>
        </w:rPr>
        <w:t>«Мой мир» (1-4 классы);</w:t>
      </w:r>
    </w:p>
    <w:p w:rsidR="002C4D60" w:rsidRPr="00582B9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57682F" w:rsidRPr="00582B90">
        <w:rPr>
          <w:rFonts w:ascii="Times New Roman" w:hAnsi="Times New Roman" w:cs="Times New Roman"/>
          <w:color w:val="FF0000"/>
          <w:sz w:val="28"/>
          <w:szCs w:val="28"/>
        </w:rPr>
        <w:t>«Уроки нравственности»(1-4 классы);</w:t>
      </w:r>
    </w:p>
    <w:p w:rsidR="0057682F" w:rsidRPr="00582B90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C6F54" w:rsidRPr="00582B90">
        <w:rPr>
          <w:rFonts w:ascii="Times New Roman" w:hAnsi="Times New Roman" w:cs="Times New Roman"/>
          <w:color w:val="FF0000"/>
          <w:sz w:val="28"/>
          <w:szCs w:val="28"/>
        </w:rPr>
        <w:t xml:space="preserve"> «Экологическая культура и здоровье человека» (8-9 классы);</w:t>
      </w:r>
    </w:p>
    <w:p w:rsidR="002C4D60" w:rsidRPr="00582B9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A4908" w:rsidRPr="00582B90">
        <w:rPr>
          <w:rFonts w:ascii="Times New Roman" w:hAnsi="Times New Roman" w:cs="Times New Roman"/>
          <w:color w:val="FF0000"/>
          <w:sz w:val="28"/>
          <w:szCs w:val="28"/>
        </w:rPr>
        <w:t xml:space="preserve"> «Социальная адаптация»</w:t>
      </w:r>
      <w:r w:rsidR="000D3E13" w:rsidRPr="00582B90">
        <w:rPr>
          <w:rFonts w:ascii="Times New Roman" w:hAnsi="Times New Roman" w:cs="Times New Roman"/>
          <w:color w:val="FF0000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 Алиева»:</w:t>
      </w:r>
    </w:p>
    <w:p w:rsidR="00A37F07" w:rsidRPr="00582B90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15C60" w:rsidRPr="00582B90">
        <w:rPr>
          <w:rFonts w:ascii="Times New Roman" w:hAnsi="Times New Roman" w:cs="Times New Roman"/>
          <w:color w:val="FF0000"/>
          <w:sz w:val="28"/>
          <w:szCs w:val="28"/>
        </w:rPr>
        <w:t>«ГТО для младших школьников» (1-4 классы);</w:t>
      </w:r>
    </w:p>
    <w:p w:rsidR="00EF641F" w:rsidRPr="00582B90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82B90">
        <w:rPr>
          <w:rFonts w:ascii="Times New Roman" w:hAnsi="Times New Roman" w:cs="Times New Roman"/>
          <w:color w:val="FF0000"/>
          <w:sz w:val="28"/>
          <w:szCs w:val="28"/>
        </w:rPr>
        <w:t>«Школа безопасности»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 Алиева»</w:t>
      </w:r>
    </w:p>
    <w:p w:rsidR="002C4D60" w:rsidRPr="00582B9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82B90">
        <w:rPr>
          <w:rFonts w:ascii="Times New Roman" w:hAnsi="Times New Roman" w:cs="Times New Roman"/>
          <w:color w:val="FF0000"/>
          <w:sz w:val="28"/>
          <w:szCs w:val="28"/>
        </w:rPr>
        <w:t>«Шахматы» (1-4 классы);</w:t>
      </w:r>
    </w:p>
    <w:p w:rsidR="002C4D60" w:rsidRPr="00582B9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E7F57" w:rsidRPr="00582B90">
        <w:rPr>
          <w:rFonts w:ascii="Times New Roman" w:hAnsi="Times New Roman" w:cs="Times New Roman"/>
          <w:color w:val="FF0000"/>
          <w:sz w:val="28"/>
          <w:szCs w:val="28"/>
        </w:rPr>
        <w:t>«Мы и окружающий мир» (1-4 классы)</w:t>
      </w:r>
      <w:r w:rsidR="000D3E13" w:rsidRPr="00582B9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00BE9" w:rsidRPr="00582B90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B90">
        <w:rPr>
          <w:rFonts w:ascii="Times New Roman" w:hAnsi="Times New Roman" w:cs="Times New Roman"/>
          <w:color w:val="FF0000"/>
          <w:sz w:val="28"/>
          <w:szCs w:val="28"/>
        </w:rPr>
        <w:t>– «Литературная гостиная»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</w:t>
      </w:r>
      <w:r w:rsidR="00ED2D14">
        <w:rPr>
          <w:rFonts w:ascii="Times New Roman" w:hAnsi="Times New Roman" w:cs="Times New Roman"/>
          <w:sz w:val="28"/>
          <w:szCs w:val="28"/>
        </w:rPr>
        <w:t>.</w:t>
      </w:r>
      <w:r w:rsidR="00582B90">
        <w:rPr>
          <w:rFonts w:ascii="Times New Roman" w:hAnsi="Times New Roman" w:cs="Times New Roman"/>
          <w:sz w:val="28"/>
          <w:szCs w:val="28"/>
        </w:rPr>
        <w:t xml:space="preserve"> Алиева»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582B90">
        <w:rPr>
          <w:rFonts w:ascii="Times New Roman" w:hAnsi="Times New Roman" w:cs="Times New Roman"/>
          <w:sz w:val="28"/>
          <w:szCs w:val="28"/>
        </w:rPr>
        <w:t xml:space="preserve">МБОУ «Мамедкалинская гимназия имени М Алиева»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F088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в Всероссийских проектах </w:t>
      </w:r>
      <w:r w:rsidRPr="00ED2D14">
        <w:rPr>
          <w:rFonts w:ascii="Times New Roman" w:hAnsi="Times New Roman" w:cs="Times New Roman"/>
          <w:sz w:val="28"/>
          <w:szCs w:val="28"/>
        </w:rPr>
        <w:t>«Билет в будущее»</w:t>
      </w:r>
      <w:r w:rsidR="00AF088C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 xml:space="preserve">темам </w:t>
      </w:r>
      <w:r w:rsidRPr="00ED2D14">
        <w:rPr>
          <w:rFonts w:ascii="Times New Roman" w:hAnsi="Times New Roman" w:cs="Times New Roman"/>
          <w:sz w:val="28"/>
          <w:szCs w:val="28"/>
        </w:rPr>
        <w:t>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педагогами и детьми. Ключевые делаобеспечивают включенность в них большого числа детей и взрослых, способствуютинтенсификации их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образовательнойорганизации – во время праздников,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торжественных церемоний, ключевыхобщешкольных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</w:t>
      </w:r>
      <w:r w:rsidR="00ED2D14">
        <w:rPr>
          <w:rFonts w:ascii="Times New Roman" w:hAnsi="Times New Roman" w:cs="Times New Roman"/>
          <w:sz w:val="28"/>
          <w:szCs w:val="28"/>
        </w:rPr>
        <w:t xml:space="preserve">Дагестана, через работу школьного музея </w:t>
      </w:r>
      <w:r>
        <w:rPr>
          <w:rFonts w:ascii="Times New Roman" w:hAnsi="Times New Roman" w:cs="Times New Roman"/>
          <w:sz w:val="28"/>
          <w:szCs w:val="28"/>
        </w:rPr>
        <w:t xml:space="preserve"> «Музей боевой славы»</w:t>
      </w:r>
      <w:r w:rsidR="00582B90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 </w:t>
      </w:r>
      <w:r w:rsidR="00ED2D14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разнообразныеформы и методы, соответствующие современным требованиям и условиям, интересам,возможностям,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</w:t>
      </w:r>
      <w:r w:rsidR="00ED2D14">
        <w:rPr>
          <w:rFonts w:ascii="Times New Roman" w:hAnsi="Times New Roman" w:cs="Times New Roman"/>
          <w:sz w:val="28"/>
          <w:szCs w:val="28"/>
        </w:rPr>
        <w:t>, берут интервью у жителей поселка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3. Предметные модульные курсы «Мы – дети природы», «Заветы предков».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4. Межпредметный модульный курс «Краски земли дагестанской».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5. Предметный модульный курс «Мелодии родного края».</w:t>
      </w:r>
    </w:p>
    <w:p w:rsidR="00CE6406" w:rsidRPr="00A6073A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6. Предметный модульный курс «Игры народов Дагестана».</w:t>
      </w:r>
    </w:p>
    <w:p w:rsidR="00DF4EBC" w:rsidRPr="00A6073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582B90">
        <w:rPr>
          <w:rFonts w:ascii="Times New Roman" w:hAnsi="Times New Roman" w:cs="Times New Roman"/>
          <w:sz w:val="28"/>
          <w:szCs w:val="28"/>
        </w:rPr>
        <w:t>МБОУ «Мамедкалинская гимназия имени М Алиева»: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Pr="00A6073A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–</w:t>
      </w:r>
      <w:r w:rsidR="004A7A00" w:rsidRPr="00A6073A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4C4FD8" w:rsidRPr="004C4FD8" w:rsidRDefault="004C4FD8" w:rsidP="004C4FD8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32"/>
          <w:szCs w:val="36"/>
          <w:lang w:eastAsia="ru-RU"/>
        </w:rPr>
      </w:pPr>
      <w:r>
        <w:rPr>
          <w:rFonts w:ascii="Times New Roman" w:hAnsi="Times New Roman" w:cs="Times New Roman"/>
          <w:szCs w:val="28"/>
        </w:rPr>
        <w:t xml:space="preserve">                 </w:t>
      </w:r>
      <w:r w:rsidR="004871BF" w:rsidRPr="004C4FD8">
        <w:rPr>
          <w:rFonts w:ascii="Times New Roman" w:hAnsi="Times New Roman" w:cs="Times New Roman"/>
          <w:szCs w:val="28"/>
        </w:rPr>
        <w:t>–</w:t>
      </w:r>
      <w:r w:rsidRPr="004C4FD8">
        <w:rPr>
          <w:rFonts w:ascii="Times New Roman" w:eastAsia="Courier New" w:hAnsi="Times New Roman" w:cs="Times New Roman"/>
          <w:bCs/>
          <w:color w:val="000000"/>
          <w:sz w:val="28"/>
          <w:szCs w:val="36"/>
          <w:lang w:eastAsia="ru-RU" w:bidi="ru-RU"/>
        </w:rPr>
        <w:t>«Планета будущего»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«Б</w:t>
      </w:r>
      <w:r w:rsidR="004C4FD8">
        <w:rPr>
          <w:rFonts w:ascii="Times New Roman" w:hAnsi="Times New Roman" w:cs="Times New Roman"/>
          <w:sz w:val="28"/>
          <w:szCs w:val="28"/>
        </w:rPr>
        <w:t>аскетбол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4C4FD8">
        <w:rPr>
          <w:rFonts w:ascii="Times New Roman" w:hAnsi="Times New Roman" w:cs="Times New Roman"/>
          <w:sz w:val="28"/>
          <w:szCs w:val="28"/>
        </w:rPr>
        <w:t>Мини-ф</w:t>
      </w:r>
      <w:r w:rsidR="009C685D">
        <w:rPr>
          <w:rFonts w:ascii="Times New Roman" w:hAnsi="Times New Roman" w:cs="Times New Roman"/>
          <w:sz w:val="28"/>
          <w:szCs w:val="28"/>
        </w:rPr>
        <w:t>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Pr="00A6073A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73A">
        <w:rPr>
          <w:rFonts w:ascii="Times New Roman" w:hAnsi="Times New Roman" w:cs="Times New Roman"/>
          <w:sz w:val="28"/>
          <w:szCs w:val="28"/>
        </w:rPr>
        <w:t>–</w:t>
      </w:r>
      <w:r w:rsidR="00ED3EB4" w:rsidRPr="00A6073A">
        <w:rPr>
          <w:rFonts w:ascii="Times New Roman" w:hAnsi="Times New Roman" w:cs="Times New Roman"/>
          <w:sz w:val="28"/>
          <w:szCs w:val="28"/>
        </w:rPr>
        <w:t>«ИЗО-студия»</w:t>
      </w:r>
      <w:r w:rsidR="009C685D" w:rsidRPr="00A6073A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C4FD8" w:rsidRDefault="004C4FD8" w:rsidP="004C4FD8">
      <w:pPr>
        <w:tabs>
          <w:tab w:val="left" w:pos="851"/>
        </w:tabs>
        <w:spacing w:after="0" w:line="240" w:lineRule="auto"/>
        <w:rPr>
          <w:rFonts w:ascii="Times New Roman" w:eastAsia="Courier New" w:hAnsi="Times New Roman" w:cs="Times New Roman"/>
          <w:bCs/>
          <w:color w:val="000000"/>
          <w:sz w:val="28"/>
          <w:szCs w:val="36"/>
          <w:lang w:eastAsia="ru-RU" w:bidi="ru-RU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36"/>
          <w:lang w:eastAsia="ru-RU" w:bidi="ru-RU"/>
        </w:rPr>
        <w:t xml:space="preserve">              -</w:t>
      </w:r>
      <w:r w:rsidRPr="004C4FD8">
        <w:rPr>
          <w:rFonts w:ascii="Times New Roman" w:eastAsia="Courier New" w:hAnsi="Times New Roman" w:cs="Times New Roman"/>
          <w:bCs/>
          <w:color w:val="000000"/>
          <w:sz w:val="28"/>
          <w:szCs w:val="36"/>
          <w:lang w:eastAsia="ru-RU" w:bidi="ru-RU"/>
        </w:rPr>
        <w:t>«Лидер школьного движения»</w:t>
      </w:r>
      <w:r>
        <w:rPr>
          <w:rFonts w:ascii="Times New Roman" w:eastAsia="Courier New" w:hAnsi="Times New Roman" w:cs="Times New Roman"/>
          <w:bCs/>
          <w:color w:val="000000"/>
          <w:sz w:val="28"/>
          <w:szCs w:val="36"/>
          <w:lang w:eastAsia="ru-RU" w:bidi="ru-RU"/>
        </w:rPr>
        <w:t>.</w:t>
      </w:r>
    </w:p>
    <w:p w:rsidR="004C4FD8" w:rsidRPr="004C4FD8" w:rsidRDefault="004C4FD8" w:rsidP="004C4FD8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36"/>
          <w:lang w:eastAsia="ru-RU"/>
        </w:rPr>
      </w:pP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4C4FD8">
        <w:rPr>
          <w:rFonts w:ascii="Times New Roman" w:hAnsi="Times New Roman" w:cs="Times New Roman"/>
          <w:sz w:val="28"/>
          <w:szCs w:val="28"/>
        </w:rPr>
        <w:t xml:space="preserve">МБОУ «Мамедкалинская гимназия им. М.Алиева»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</w:t>
      </w:r>
      <w:r w:rsidR="004C4FD8">
        <w:rPr>
          <w:rFonts w:ascii="Times New Roman" w:hAnsi="Times New Roman" w:cs="Times New Roman"/>
          <w:sz w:val="28"/>
          <w:szCs w:val="28"/>
        </w:rPr>
        <w:t>вленностей, функционирующие на бесплатной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4C4FD8">
        <w:rPr>
          <w:rFonts w:ascii="Times New Roman" w:hAnsi="Times New Roman" w:cs="Times New Roman"/>
          <w:sz w:val="28"/>
          <w:szCs w:val="28"/>
        </w:rPr>
        <w:t xml:space="preserve">МБОУ «Мамедкалинская гимназия им. М.Алиева»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A6073A" w:rsidRDefault="00A6073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073A">
              <w:rPr>
                <w:rFonts w:ascii="Times New Roman" w:hAnsi="Times New Roman" w:cs="Times New Roman"/>
                <w:sz w:val="28"/>
                <w:szCs w:val="28"/>
              </w:rPr>
              <w:t>«Эко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073A">
              <w:rPr>
                <w:rFonts w:ascii="Times New Roman" w:hAnsi="Times New Roman" w:cs="Times New Roman"/>
                <w:sz w:val="28"/>
                <w:szCs w:val="28"/>
              </w:rPr>
              <w:t>тряд</w:t>
            </w:r>
            <w:r w:rsidR="00C05707" w:rsidRPr="00A60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4C4F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FD8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024A7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4C4F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4FD8">
              <w:rPr>
                <w:rFonts w:ascii="Times New Roman" w:hAnsi="Times New Roman" w:cs="Times New Roman"/>
                <w:sz w:val="28"/>
                <w:szCs w:val="28"/>
              </w:rPr>
              <w:t>Большая перемена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9D1AB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Луч добра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570BD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B4E" w:rsidRPr="00A41646" w:rsidRDefault="00BE3B4E" w:rsidP="00570B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8FF" w:rsidRDefault="00C208FF" w:rsidP="00DD4C43">
      <w:pPr>
        <w:spacing w:after="0" w:line="240" w:lineRule="auto"/>
      </w:pPr>
      <w:r>
        <w:separator/>
      </w:r>
    </w:p>
  </w:endnote>
  <w:endnote w:type="continuationSeparator" w:id="1">
    <w:p w:rsidR="00C208FF" w:rsidRDefault="00C208F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11371"/>
      <w:docPartObj>
        <w:docPartGallery w:val="Page Numbers (Bottom of Page)"/>
        <w:docPartUnique/>
      </w:docPartObj>
    </w:sdtPr>
    <w:sdtContent>
      <w:p w:rsidR="00AF088C" w:rsidRDefault="00A046B3">
        <w:pPr>
          <w:pStyle w:val="a8"/>
          <w:jc w:val="center"/>
        </w:pPr>
        <w:fldSimple w:instr="PAGE   \* MERGEFORMAT">
          <w:r w:rsidR="00570BD9">
            <w:rPr>
              <w:noProof/>
            </w:rPr>
            <w:t>32</w:t>
          </w:r>
        </w:fldSimple>
      </w:p>
    </w:sdtContent>
  </w:sdt>
  <w:p w:rsidR="00AF088C" w:rsidRDefault="00AF08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FF" w:rsidRDefault="00C208FF" w:rsidP="00DD4C43">
      <w:pPr>
        <w:spacing w:after="0" w:line="240" w:lineRule="auto"/>
      </w:pPr>
      <w:r>
        <w:separator/>
      </w:r>
    </w:p>
  </w:footnote>
  <w:footnote w:type="continuationSeparator" w:id="1">
    <w:p w:rsidR="00C208FF" w:rsidRDefault="00C208FF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4A7F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D4921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16868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0F8B"/>
    <w:rsid w:val="003C2A39"/>
    <w:rsid w:val="003D2E98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C4FD8"/>
    <w:rsid w:val="00500A7A"/>
    <w:rsid w:val="00520E2C"/>
    <w:rsid w:val="00521C66"/>
    <w:rsid w:val="005559E7"/>
    <w:rsid w:val="00560A71"/>
    <w:rsid w:val="00561C9D"/>
    <w:rsid w:val="00563533"/>
    <w:rsid w:val="00570BD9"/>
    <w:rsid w:val="00574B7E"/>
    <w:rsid w:val="0057682F"/>
    <w:rsid w:val="00582B90"/>
    <w:rsid w:val="00584C37"/>
    <w:rsid w:val="00585308"/>
    <w:rsid w:val="005B102C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162"/>
    <w:rsid w:val="00775548"/>
    <w:rsid w:val="007A340F"/>
    <w:rsid w:val="007A6779"/>
    <w:rsid w:val="007B059B"/>
    <w:rsid w:val="007B45BA"/>
    <w:rsid w:val="007B4FB5"/>
    <w:rsid w:val="007B5726"/>
    <w:rsid w:val="007C48F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93301"/>
    <w:rsid w:val="008A0FE3"/>
    <w:rsid w:val="008B0C77"/>
    <w:rsid w:val="008C2A98"/>
    <w:rsid w:val="00903894"/>
    <w:rsid w:val="0090476E"/>
    <w:rsid w:val="00911142"/>
    <w:rsid w:val="0091603A"/>
    <w:rsid w:val="00917302"/>
    <w:rsid w:val="00917AE8"/>
    <w:rsid w:val="00921675"/>
    <w:rsid w:val="009238F3"/>
    <w:rsid w:val="00924D4D"/>
    <w:rsid w:val="00934E1C"/>
    <w:rsid w:val="00945205"/>
    <w:rsid w:val="00951E17"/>
    <w:rsid w:val="00965965"/>
    <w:rsid w:val="0096626C"/>
    <w:rsid w:val="009828E3"/>
    <w:rsid w:val="00986165"/>
    <w:rsid w:val="009B4584"/>
    <w:rsid w:val="009B7DFF"/>
    <w:rsid w:val="009C685D"/>
    <w:rsid w:val="009D1AB1"/>
    <w:rsid w:val="009E7F57"/>
    <w:rsid w:val="00A046B3"/>
    <w:rsid w:val="00A3043A"/>
    <w:rsid w:val="00A30A10"/>
    <w:rsid w:val="00A37F07"/>
    <w:rsid w:val="00A41646"/>
    <w:rsid w:val="00A436AD"/>
    <w:rsid w:val="00A53A9B"/>
    <w:rsid w:val="00A6073A"/>
    <w:rsid w:val="00A73F18"/>
    <w:rsid w:val="00A77045"/>
    <w:rsid w:val="00AA1A3A"/>
    <w:rsid w:val="00AC17A0"/>
    <w:rsid w:val="00AC1D88"/>
    <w:rsid w:val="00AD23CD"/>
    <w:rsid w:val="00AF088C"/>
    <w:rsid w:val="00B15C7A"/>
    <w:rsid w:val="00B20C9D"/>
    <w:rsid w:val="00B218A8"/>
    <w:rsid w:val="00B227AD"/>
    <w:rsid w:val="00B23680"/>
    <w:rsid w:val="00B24F94"/>
    <w:rsid w:val="00B26660"/>
    <w:rsid w:val="00B35230"/>
    <w:rsid w:val="00B36650"/>
    <w:rsid w:val="00B46467"/>
    <w:rsid w:val="00B63573"/>
    <w:rsid w:val="00B65B25"/>
    <w:rsid w:val="00B73887"/>
    <w:rsid w:val="00B93BA8"/>
    <w:rsid w:val="00BA7682"/>
    <w:rsid w:val="00BB786D"/>
    <w:rsid w:val="00BC459C"/>
    <w:rsid w:val="00BE2074"/>
    <w:rsid w:val="00BE3B4E"/>
    <w:rsid w:val="00BF3B8B"/>
    <w:rsid w:val="00C05707"/>
    <w:rsid w:val="00C17AD9"/>
    <w:rsid w:val="00C208FF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03C57"/>
    <w:rsid w:val="00D32049"/>
    <w:rsid w:val="00D32D8B"/>
    <w:rsid w:val="00D42881"/>
    <w:rsid w:val="00D724B4"/>
    <w:rsid w:val="00D7633B"/>
    <w:rsid w:val="00D85D56"/>
    <w:rsid w:val="00D952D5"/>
    <w:rsid w:val="00DA4A19"/>
    <w:rsid w:val="00DA7EB4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67627"/>
    <w:rsid w:val="00EA2CB6"/>
    <w:rsid w:val="00EA566C"/>
    <w:rsid w:val="00EC306E"/>
    <w:rsid w:val="00EC4C38"/>
    <w:rsid w:val="00EC5066"/>
    <w:rsid w:val="00ED2D14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9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9186</Words>
  <Characters>52363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216</cp:revision>
  <cp:lastPrinted>2021-05-25T13:46:00Z</cp:lastPrinted>
  <dcterms:created xsi:type="dcterms:W3CDTF">2021-05-19T14:48:00Z</dcterms:created>
  <dcterms:modified xsi:type="dcterms:W3CDTF">2021-09-03T12:25:00Z</dcterms:modified>
</cp:coreProperties>
</file>